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73D6" w14:textId="77777777" w:rsidR="006B1AF5" w:rsidRDefault="00000000">
      <w:pPr>
        <w:shd w:val="clear" w:color="auto" w:fill="FFFFFF"/>
        <w:spacing w:after="0" w:line="240" w:lineRule="auto"/>
        <w:ind w:right="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ПОРІВНЯЛЬНА ТАБЛИЦЯ</w:t>
      </w:r>
    </w:p>
    <w:p w14:paraId="3080AE3D" w14:textId="77777777" w:rsidR="006B1AF5" w:rsidRDefault="00000000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 </w:t>
      </w:r>
      <w:proofErr w:type="spellStart"/>
      <w:r>
        <w:rPr>
          <w:b/>
          <w:bCs/>
          <w:sz w:val="28"/>
          <w:szCs w:val="28"/>
        </w:rPr>
        <w:t>проєкту</w:t>
      </w:r>
      <w:proofErr w:type="spellEnd"/>
      <w:r>
        <w:rPr>
          <w:b/>
          <w:bCs/>
          <w:sz w:val="28"/>
          <w:szCs w:val="28"/>
        </w:rPr>
        <w:t xml:space="preserve"> наказу Національної служби здоров’я України</w:t>
      </w:r>
    </w:p>
    <w:p w14:paraId="53A9174D" w14:textId="5028129A" w:rsidR="006B1AF5" w:rsidRDefault="00000000">
      <w:pPr>
        <w:pStyle w:val="20"/>
        <w:widowControl w:val="0"/>
        <w:spacing w:line="240" w:lineRule="auto"/>
        <w:ind w:right="0"/>
        <w:jc w:val="center"/>
        <w:rPr>
          <w:b/>
          <w:szCs w:val="28"/>
        </w:rPr>
      </w:pPr>
      <w:r>
        <w:rPr>
          <w:b/>
          <w:bCs/>
          <w:szCs w:val="28"/>
        </w:rPr>
        <w:t>«</w:t>
      </w:r>
      <w:r w:rsidR="00FB0DD5" w:rsidRPr="00FB0DD5">
        <w:rPr>
          <w:b/>
          <w:szCs w:val="28"/>
        </w:rPr>
        <w:t>Про внесення змін до наказу Національної служби здоров’я України від 23.02.2024 № 139</w:t>
      </w:r>
      <w:r>
        <w:rPr>
          <w:b/>
          <w:szCs w:val="28"/>
        </w:rPr>
        <w:t>»</w:t>
      </w:r>
    </w:p>
    <w:p w14:paraId="18EFC735" w14:textId="77777777" w:rsidR="006B1AF5" w:rsidRDefault="006B1A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b"/>
        <w:tblW w:w="14737" w:type="dxa"/>
        <w:tblLook w:val="04A0" w:firstRow="1" w:lastRow="0" w:firstColumn="1" w:lastColumn="0" w:noHBand="0" w:noVBand="1"/>
      </w:tblPr>
      <w:tblGrid>
        <w:gridCol w:w="1189"/>
        <w:gridCol w:w="3789"/>
        <w:gridCol w:w="491"/>
        <w:gridCol w:w="1962"/>
        <w:gridCol w:w="2372"/>
        <w:gridCol w:w="111"/>
        <w:gridCol w:w="2336"/>
        <w:gridCol w:w="472"/>
        <w:gridCol w:w="2015"/>
      </w:tblGrid>
      <w:tr w:rsidR="007D3EBE" w14:paraId="16C18C60" w14:textId="77777777" w:rsidTr="005A5D62">
        <w:tc>
          <w:tcPr>
            <w:tcW w:w="7431" w:type="dxa"/>
            <w:gridSpan w:val="4"/>
            <w:tcBorders>
              <w:right w:val="single" w:sz="4" w:space="0" w:color="auto"/>
            </w:tcBorders>
          </w:tcPr>
          <w:p w14:paraId="41B9F4C0" w14:textId="77777777" w:rsidR="006B1AF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Зміст положення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законодавства</w:t>
            </w:r>
          </w:p>
        </w:tc>
        <w:tc>
          <w:tcPr>
            <w:tcW w:w="7306" w:type="dxa"/>
            <w:gridSpan w:val="5"/>
            <w:tcBorders>
              <w:left w:val="single" w:sz="4" w:space="0" w:color="auto"/>
            </w:tcBorders>
          </w:tcPr>
          <w:p w14:paraId="15EF41F2" w14:textId="77777777" w:rsidR="006B1AF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Зміст відповідного положення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акта</w:t>
            </w:r>
            <w:proofErr w:type="spellEnd"/>
          </w:p>
        </w:tc>
      </w:tr>
      <w:tr w:rsidR="006B1AF5" w14:paraId="14C5CE99" w14:textId="77777777" w:rsidTr="007D3EBE">
        <w:tc>
          <w:tcPr>
            <w:tcW w:w="14737" w:type="dxa"/>
            <w:gridSpan w:val="9"/>
          </w:tcPr>
          <w:p w14:paraId="7058ABDA" w14:textId="0FBFCE4F" w:rsidR="006B1AF5" w:rsidRDefault="00FB0DD5" w:rsidP="00FB0DD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0D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Перелік надавачів медичних послуг, у яких у І півріччі 2024 року буде </w:t>
            </w:r>
            <w:proofErr w:type="spellStart"/>
            <w:r w:rsidRPr="00FB0DD5">
              <w:rPr>
                <w:rFonts w:ascii="Times New Roman" w:hAnsi="Times New Roman"/>
                <w:b/>
                <w:bCs/>
                <w:sz w:val="28"/>
                <w:szCs w:val="28"/>
              </w:rPr>
              <w:t>здійснюватись</w:t>
            </w:r>
            <w:proofErr w:type="spellEnd"/>
            <w:r w:rsidRPr="00FB0D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плановий моніторинг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B0DD5">
              <w:rPr>
                <w:rFonts w:ascii="Times New Roman" w:hAnsi="Times New Roman"/>
                <w:b/>
                <w:bCs/>
                <w:sz w:val="28"/>
                <w:szCs w:val="28"/>
              </w:rPr>
              <w:t>виконання умов договору про медичне обслуговування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B0DD5">
              <w:rPr>
                <w:rFonts w:ascii="Times New Roman" w:hAnsi="Times New Roman"/>
                <w:b/>
                <w:bCs/>
                <w:sz w:val="28"/>
                <w:szCs w:val="28"/>
              </w:rPr>
              <w:t>населення за програмою медичних гарантій за пакетом медичних послуг «Медична допомога при гострому мозковому інсульті»</w:t>
            </w:r>
            <w:r w:rsidR="002B585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затверджений наказом НСЗУ </w:t>
            </w:r>
            <w:r w:rsidRPr="00FB0DD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від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Pr="00FB0DD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23.02.2024 № 139</w:t>
            </w:r>
          </w:p>
        </w:tc>
      </w:tr>
      <w:tr w:rsidR="007D3EBE" w14:paraId="5CB2AD81" w14:textId="77777777" w:rsidTr="007D3EBE">
        <w:tc>
          <w:tcPr>
            <w:tcW w:w="1189" w:type="dxa"/>
          </w:tcPr>
          <w:p w14:paraId="2D46350A" w14:textId="60B18546" w:rsidR="00FB0DD5" w:rsidRPr="007D3EBE" w:rsidRDefault="00FB0DD5" w:rsidP="00FB0D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DD5">
              <w:rPr>
                <w:rFonts w:ascii="Times New Roman" w:hAnsi="Times New Roman"/>
                <w:sz w:val="24"/>
                <w:szCs w:val="24"/>
              </w:rPr>
              <w:t>01993575</w:t>
            </w:r>
          </w:p>
        </w:tc>
        <w:tc>
          <w:tcPr>
            <w:tcW w:w="3789" w:type="dxa"/>
          </w:tcPr>
          <w:p w14:paraId="796D8663" w14:textId="20A37E81" w:rsidR="00FB0DD5" w:rsidRPr="007D3EBE" w:rsidRDefault="00FB0DD5" w:rsidP="00FB0D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DD5">
              <w:rPr>
                <w:rFonts w:ascii="Times New Roman" w:hAnsi="Times New Roman"/>
                <w:sz w:val="24"/>
                <w:szCs w:val="24"/>
              </w:rPr>
              <w:t>КОМУНАЛЬНЕ НЕКОМЕРЦІЙНЕ ПІДПРИЄМСТВО "НАДВІРНЯНСЬКА ЦЕНТРАЛЬНА РАЙОННА ЛІКАРНЯ" НАДВІРНЯНСЬКОЇ МІСЬКОЇ РАДИ</w:t>
            </w:r>
          </w:p>
        </w:tc>
        <w:tc>
          <w:tcPr>
            <w:tcW w:w="491" w:type="dxa"/>
          </w:tcPr>
          <w:p w14:paraId="79C98849" w14:textId="2C614E14" w:rsidR="00FB0DD5" w:rsidRPr="007D3EBE" w:rsidRDefault="00FB0DD5" w:rsidP="00FB0D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E"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962" w:type="dxa"/>
          </w:tcPr>
          <w:p w14:paraId="437E5054" w14:textId="76906B39" w:rsidR="00FB0DD5" w:rsidRPr="007D3EBE" w:rsidRDefault="00FB0DD5" w:rsidP="00FB0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BE">
              <w:rPr>
                <w:rFonts w:ascii="Times New Roman" w:hAnsi="Times New Roman"/>
                <w:strike/>
                <w:sz w:val="24"/>
                <w:szCs w:val="24"/>
              </w:rPr>
              <w:t>Південний</w:t>
            </w:r>
            <w:r w:rsidRPr="007D3EBE">
              <w:rPr>
                <w:rFonts w:ascii="Times New Roman" w:hAnsi="Times New Roman"/>
                <w:sz w:val="24"/>
                <w:szCs w:val="24"/>
              </w:rPr>
              <w:t xml:space="preserve"> міжрегіональний департамент</w:t>
            </w:r>
          </w:p>
        </w:tc>
        <w:tc>
          <w:tcPr>
            <w:tcW w:w="2483" w:type="dxa"/>
            <w:gridSpan w:val="2"/>
          </w:tcPr>
          <w:p w14:paraId="5FDC9170" w14:textId="46E75B2B" w:rsidR="00FB0DD5" w:rsidRPr="007D3EBE" w:rsidRDefault="00FB0DD5" w:rsidP="00FB0DD5">
            <w:pPr>
              <w:ind w:left="-66" w:firstLine="6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DD5">
              <w:rPr>
                <w:rFonts w:ascii="Times New Roman" w:hAnsi="Times New Roman"/>
                <w:sz w:val="24"/>
                <w:szCs w:val="24"/>
              </w:rPr>
              <w:t>01993575</w:t>
            </w:r>
          </w:p>
        </w:tc>
        <w:tc>
          <w:tcPr>
            <w:tcW w:w="2336" w:type="dxa"/>
          </w:tcPr>
          <w:p w14:paraId="2BC4573F" w14:textId="2BED3FFE" w:rsidR="00FB0DD5" w:rsidRPr="007D3EBE" w:rsidRDefault="00FB0DD5" w:rsidP="00FB0D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DD5">
              <w:rPr>
                <w:rFonts w:ascii="Times New Roman" w:hAnsi="Times New Roman"/>
                <w:sz w:val="24"/>
                <w:szCs w:val="24"/>
              </w:rPr>
              <w:t>КОМУНАЛЬНЕ НЕКОМЕРЦІЙНЕ ПІДПРИЄМСТВО "НАДВІРНЯНСЬКА ЦЕНТРАЛЬНА РАЙОННА ЛІКАРНЯ" НАДВІРНЯНСЬКОЇ МІСЬКОЇ РАДИ</w:t>
            </w:r>
          </w:p>
        </w:tc>
        <w:tc>
          <w:tcPr>
            <w:tcW w:w="472" w:type="dxa"/>
          </w:tcPr>
          <w:p w14:paraId="2653D265" w14:textId="124DEBC3" w:rsidR="00FB0DD5" w:rsidRPr="007D3EBE" w:rsidRDefault="00FB0DD5" w:rsidP="00FB0D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E"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015" w:type="dxa"/>
          </w:tcPr>
          <w:p w14:paraId="4092D99A" w14:textId="60A847DB" w:rsidR="00FB0DD5" w:rsidRPr="007D3EBE" w:rsidRDefault="00FB0DD5" w:rsidP="00FB0D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E">
              <w:rPr>
                <w:rFonts w:ascii="Times New Roman" w:hAnsi="Times New Roman"/>
                <w:b/>
                <w:bCs/>
                <w:sz w:val="24"/>
                <w:szCs w:val="24"/>
              </w:rPr>
              <w:t>Північний</w:t>
            </w:r>
            <w:r w:rsidRPr="007D3EBE">
              <w:rPr>
                <w:rFonts w:ascii="Times New Roman" w:hAnsi="Times New Roman"/>
                <w:sz w:val="24"/>
                <w:szCs w:val="24"/>
              </w:rPr>
              <w:t xml:space="preserve"> міжрегіональний департамент</w:t>
            </w:r>
          </w:p>
        </w:tc>
      </w:tr>
      <w:tr w:rsidR="007D3EBE" w14:paraId="7D0B6C7B" w14:textId="77777777" w:rsidTr="007D3EBE">
        <w:tc>
          <w:tcPr>
            <w:tcW w:w="1189" w:type="dxa"/>
          </w:tcPr>
          <w:p w14:paraId="12A80AAC" w14:textId="263A3716" w:rsidR="00FB0DD5" w:rsidRPr="007D3EBE" w:rsidRDefault="00FB0DD5" w:rsidP="00FB0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DD5">
              <w:rPr>
                <w:rFonts w:ascii="Times New Roman" w:hAnsi="Times New Roman"/>
                <w:sz w:val="24"/>
                <w:szCs w:val="24"/>
              </w:rPr>
              <w:t>40075815</w:t>
            </w:r>
          </w:p>
        </w:tc>
        <w:tc>
          <w:tcPr>
            <w:tcW w:w="3789" w:type="dxa"/>
          </w:tcPr>
          <w:p w14:paraId="53AE2F71" w14:textId="22600EDA" w:rsidR="00FB0DD5" w:rsidRPr="007D3EBE" w:rsidRDefault="00FB0DD5" w:rsidP="00FB0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DD5">
              <w:rPr>
                <w:rFonts w:ascii="Times New Roman" w:hAnsi="Times New Roman"/>
                <w:sz w:val="24"/>
                <w:szCs w:val="24"/>
              </w:rPr>
              <w:t>АКЦІОНЕРНЕ ТОВАРИСТВО "УКРАЇНСЬКА ЗАЛІЗНИЦЯ"</w:t>
            </w:r>
          </w:p>
        </w:tc>
        <w:tc>
          <w:tcPr>
            <w:tcW w:w="491" w:type="dxa"/>
          </w:tcPr>
          <w:p w14:paraId="5C5EDC6A" w14:textId="5A267C16" w:rsidR="00FB0DD5" w:rsidRPr="007D3EBE" w:rsidRDefault="00FB0DD5" w:rsidP="00FB0D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E"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962" w:type="dxa"/>
          </w:tcPr>
          <w:p w14:paraId="3E3AAA98" w14:textId="11734F5B" w:rsidR="00FB0DD5" w:rsidRPr="007D3EBE" w:rsidRDefault="00FB0DD5" w:rsidP="00FB0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BE">
              <w:rPr>
                <w:rFonts w:ascii="Times New Roman" w:hAnsi="Times New Roman"/>
                <w:strike/>
                <w:sz w:val="24"/>
                <w:szCs w:val="24"/>
              </w:rPr>
              <w:t>Північний</w:t>
            </w:r>
            <w:r w:rsidRPr="007D3EBE">
              <w:rPr>
                <w:rFonts w:ascii="Times New Roman" w:hAnsi="Times New Roman"/>
                <w:sz w:val="24"/>
                <w:szCs w:val="24"/>
              </w:rPr>
              <w:t xml:space="preserve"> міжрегіональний департамент</w:t>
            </w:r>
          </w:p>
        </w:tc>
        <w:tc>
          <w:tcPr>
            <w:tcW w:w="2483" w:type="dxa"/>
            <w:gridSpan w:val="2"/>
          </w:tcPr>
          <w:p w14:paraId="6BAF6C1F" w14:textId="0FB8171A" w:rsidR="00FB0DD5" w:rsidRPr="007D3EBE" w:rsidRDefault="00FB0DD5" w:rsidP="00FB0DD5">
            <w:pPr>
              <w:ind w:left="-66" w:firstLine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DD5">
              <w:rPr>
                <w:rFonts w:ascii="Times New Roman" w:hAnsi="Times New Roman"/>
                <w:sz w:val="24"/>
                <w:szCs w:val="24"/>
              </w:rPr>
              <w:t>40075815</w:t>
            </w:r>
          </w:p>
        </w:tc>
        <w:tc>
          <w:tcPr>
            <w:tcW w:w="2336" w:type="dxa"/>
          </w:tcPr>
          <w:p w14:paraId="43D3D879" w14:textId="245AE709" w:rsidR="00FB0DD5" w:rsidRPr="007D3EBE" w:rsidRDefault="00FB0DD5" w:rsidP="00FB0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DD5">
              <w:rPr>
                <w:rFonts w:ascii="Times New Roman" w:hAnsi="Times New Roman"/>
                <w:sz w:val="24"/>
                <w:szCs w:val="24"/>
              </w:rPr>
              <w:t>АКЦІОНЕРНЕ ТОВАРИСТВО "УКРАЇНСЬКА ЗАЛІЗНИЦЯ"</w:t>
            </w:r>
          </w:p>
        </w:tc>
        <w:tc>
          <w:tcPr>
            <w:tcW w:w="472" w:type="dxa"/>
          </w:tcPr>
          <w:p w14:paraId="3124737F" w14:textId="4E5E0CA6" w:rsidR="00FB0DD5" w:rsidRPr="007D3EBE" w:rsidRDefault="00FB0DD5" w:rsidP="00FB0D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E"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015" w:type="dxa"/>
          </w:tcPr>
          <w:p w14:paraId="5E6FAB4C" w14:textId="091827FB" w:rsidR="00FB0DD5" w:rsidRPr="007D3EBE" w:rsidRDefault="00FB0DD5" w:rsidP="00FB0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BE">
              <w:rPr>
                <w:rFonts w:ascii="Times New Roman" w:hAnsi="Times New Roman"/>
                <w:b/>
                <w:bCs/>
                <w:sz w:val="24"/>
                <w:szCs w:val="24"/>
              </w:rPr>
              <w:t>Південний</w:t>
            </w:r>
            <w:r w:rsidRPr="007D3EBE">
              <w:rPr>
                <w:rFonts w:ascii="Times New Roman" w:hAnsi="Times New Roman"/>
                <w:sz w:val="24"/>
                <w:szCs w:val="24"/>
              </w:rPr>
              <w:t xml:space="preserve"> міжрегіональний департамент</w:t>
            </w:r>
          </w:p>
        </w:tc>
      </w:tr>
      <w:tr w:rsidR="007D3EBE" w14:paraId="5ECC2F39" w14:textId="77777777" w:rsidTr="007D3EBE">
        <w:tc>
          <w:tcPr>
            <w:tcW w:w="1189" w:type="dxa"/>
          </w:tcPr>
          <w:p w14:paraId="46D574E6" w14:textId="1DEC2717" w:rsidR="007D3EBE" w:rsidRPr="007D3EBE" w:rsidRDefault="007D3EBE" w:rsidP="007D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BE">
              <w:rPr>
                <w:rFonts w:ascii="Times New Roman" w:hAnsi="Times New Roman"/>
                <w:sz w:val="24"/>
                <w:szCs w:val="24"/>
              </w:rPr>
              <w:t>01984624</w:t>
            </w:r>
          </w:p>
        </w:tc>
        <w:tc>
          <w:tcPr>
            <w:tcW w:w="3789" w:type="dxa"/>
          </w:tcPr>
          <w:p w14:paraId="05F26357" w14:textId="07A4673D" w:rsidR="007D3EBE" w:rsidRPr="007D3EBE" w:rsidRDefault="007D3EBE" w:rsidP="007D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BE">
              <w:rPr>
                <w:rFonts w:ascii="Times New Roman" w:hAnsi="Times New Roman"/>
                <w:sz w:val="24"/>
                <w:szCs w:val="24"/>
              </w:rPr>
              <w:t>КОМУНАЛЬНЕ НЕКОМЕРЦІЙНЕ ПІДПРИЄМСТВО "МІСЬКА КЛІНІЧНА ЛІКАРНЯ № 16" ДНІПРОВСЬКОЇ МІСЬКОЇ РАДИ</w:t>
            </w:r>
          </w:p>
        </w:tc>
        <w:tc>
          <w:tcPr>
            <w:tcW w:w="491" w:type="dxa"/>
          </w:tcPr>
          <w:p w14:paraId="3ED9B488" w14:textId="69B96435" w:rsidR="007D3EBE" w:rsidRPr="007D3EBE" w:rsidRDefault="007D3EBE" w:rsidP="007D3E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E"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962" w:type="dxa"/>
          </w:tcPr>
          <w:p w14:paraId="40EF9A86" w14:textId="084633B4" w:rsidR="007D3EBE" w:rsidRPr="007D3EBE" w:rsidRDefault="007D3EBE" w:rsidP="007D3EBE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D3EBE">
              <w:rPr>
                <w:rFonts w:ascii="Times New Roman" w:hAnsi="Times New Roman"/>
                <w:strike/>
                <w:sz w:val="24"/>
                <w:szCs w:val="24"/>
              </w:rPr>
              <w:t>Південний</w:t>
            </w:r>
            <w:r w:rsidRPr="007D3EBE">
              <w:rPr>
                <w:rFonts w:ascii="Times New Roman" w:hAnsi="Times New Roman"/>
                <w:sz w:val="24"/>
                <w:szCs w:val="24"/>
              </w:rPr>
              <w:t xml:space="preserve"> міжрегіональний департамент</w:t>
            </w:r>
          </w:p>
        </w:tc>
        <w:tc>
          <w:tcPr>
            <w:tcW w:w="2483" w:type="dxa"/>
            <w:gridSpan w:val="2"/>
          </w:tcPr>
          <w:p w14:paraId="4307EDB5" w14:textId="1D4A44F5" w:rsidR="007D3EBE" w:rsidRPr="007D3EBE" w:rsidRDefault="007D3EBE" w:rsidP="007D3EBE">
            <w:pPr>
              <w:ind w:left="-66" w:firstLine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BE">
              <w:rPr>
                <w:rFonts w:ascii="Times New Roman" w:hAnsi="Times New Roman"/>
                <w:sz w:val="24"/>
                <w:szCs w:val="24"/>
              </w:rPr>
              <w:t>01984624</w:t>
            </w:r>
          </w:p>
        </w:tc>
        <w:tc>
          <w:tcPr>
            <w:tcW w:w="2336" w:type="dxa"/>
          </w:tcPr>
          <w:p w14:paraId="2237093B" w14:textId="616EE50F" w:rsidR="007D3EBE" w:rsidRPr="007D3EBE" w:rsidRDefault="007D3EBE" w:rsidP="007D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BE">
              <w:rPr>
                <w:rFonts w:ascii="Times New Roman" w:hAnsi="Times New Roman"/>
                <w:sz w:val="24"/>
                <w:szCs w:val="24"/>
              </w:rPr>
              <w:t>КОМУНАЛЬНЕ НЕКОМЕРЦІЙНЕ ПІДПРИЄМСТВО "МІСЬКА КЛІНІЧНА ЛІКАРНЯ № 16" ДНІПРОВСЬКОЇ МІСЬКОЇ РАДИ</w:t>
            </w:r>
          </w:p>
        </w:tc>
        <w:tc>
          <w:tcPr>
            <w:tcW w:w="472" w:type="dxa"/>
          </w:tcPr>
          <w:p w14:paraId="3469D30F" w14:textId="1398BED5" w:rsidR="007D3EBE" w:rsidRPr="007D3EBE" w:rsidRDefault="007D3EBE" w:rsidP="007D3E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E"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015" w:type="dxa"/>
          </w:tcPr>
          <w:p w14:paraId="5AD2A9E2" w14:textId="65DDB3C3" w:rsidR="007D3EBE" w:rsidRPr="007D3EBE" w:rsidRDefault="007D3EBE" w:rsidP="007D3E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E">
              <w:rPr>
                <w:rFonts w:ascii="Times New Roman" w:hAnsi="Times New Roman"/>
                <w:b/>
                <w:bCs/>
                <w:sz w:val="24"/>
                <w:szCs w:val="24"/>
              </w:rPr>
              <w:t>Північний</w:t>
            </w:r>
            <w:r w:rsidRPr="007D3EBE">
              <w:rPr>
                <w:rFonts w:ascii="Times New Roman" w:hAnsi="Times New Roman"/>
                <w:sz w:val="24"/>
                <w:szCs w:val="24"/>
              </w:rPr>
              <w:t xml:space="preserve"> міжрегіональний департамент</w:t>
            </w:r>
          </w:p>
        </w:tc>
      </w:tr>
      <w:tr w:rsidR="007D3EBE" w14:paraId="54429233" w14:textId="77777777" w:rsidTr="007D3EBE">
        <w:tc>
          <w:tcPr>
            <w:tcW w:w="14737" w:type="dxa"/>
            <w:gridSpan w:val="9"/>
          </w:tcPr>
          <w:p w14:paraId="207F71EF" w14:textId="2141CA28" w:rsidR="007D3EBE" w:rsidRPr="00FB0DD5" w:rsidRDefault="007D3EBE" w:rsidP="007D3E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D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Перелік надавачів медичних послуг, у яких у І півріччі 2024 року буде </w:t>
            </w:r>
            <w:proofErr w:type="spellStart"/>
            <w:r w:rsidRPr="00FB0DD5">
              <w:rPr>
                <w:rFonts w:ascii="Times New Roman" w:hAnsi="Times New Roman"/>
                <w:b/>
                <w:bCs/>
                <w:sz w:val="28"/>
                <w:szCs w:val="28"/>
              </w:rPr>
              <w:t>здійснюватись</w:t>
            </w:r>
            <w:proofErr w:type="spellEnd"/>
            <w:r w:rsidRPr="00FB0D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плановий моніторинг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B0DD5">
              <w:rPr>
                <w:rFonts w:ascii="Times New Roman" w:hAnsi="Times New Roman"/>
                <w:b/>
                <w:bCs/>
                <w:sz w:val="28"/>
                <w:szCs w:val="28"/>
              </w:rPr>
              <w:t>виконання умов договору про медичне обслуговування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B0D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населення за програмою медичних гарантій за пакетом </w:t>
            </w:r>
            <w:r w:rsidRPr="00FB0DD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медичних послуг ««Медична допомога при гострому інфаркті міокарда»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затверджений наказом НСЗУ </w:t>
            </w:r>
            <w:r w:rsidRPr="00FB0DD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від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Pr="00FB0DD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23.02.2024 № 139</w:t>
            </w:r>
          </w:p>
        </w:tc>
      </w:tr>
      <w:tr w:rsidR="007D3EBE" w14:paraId="30E3D1A6" w14:textId="77777777" w:rsidTr="007D3EBE">
        <w:tc>
          <w:tcPr>
            <w:tcW w:w="1189" w:type="dxa"/>
          </w:tcPr>
          <w:p w14:paraId="6EA6FF54" w14:textId="04C74FB2" w:rsidR="007D3EBE" w:rsidRPr="00FB0DD5" w:rsidRDefault="007D3EBE" w:rsidP="007D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DD5">
              <w:rPr>
                <w:rFonts w:ascii="Times New Roman" w:hAnsi="Times New Roman"/>
                <w:sz w:val="24"/>
                <w:szCs w:val="24"/>
              </w:rPr>
              <w:lastRenderedPageBreak/>
              <w:t>40075815</w:t>
            </w:r>
          </w:p>
        </w:tc>
        <w:tc>
          <w:tcPr>
            <w:tcW w:w="3789" w:type="dxa"/>
          </w:tcPr>
          <w:p w14:paraId="179E263D" w14:textId="6D491370" w:rsidR="007D3EBE" w:rsidRPr="00FB0DD5" w:rsidRDefault="007D3EBE" w:rsidP="007D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DD5">
              <w:rPr>
                <w:rFonts w:ascii="Times New Roman" w:hAnsi="Times New Roman"/>
                <w:sz w:val="24"/>
                <w:szCs w:val="24"/>
              </w:rPr>
              <w:t>АКЦІОНЕРНЕ ТОВАРИСТВО "УКРАЇНСЬКА ЗАЛІЗНИЦЯ"</w:t>
            </w:r>
          </w:p>
        </w:tc>
        <w:tc>
          <w:tcPr>
            <w:tcW w:w="491" w:type="dxa"/>
          </w:tcPr>
          <w:p w14:paraId="292DBB38" w14:textId="277B9D3C" w:rsidR="007D3EBE" w:rsidRPr="00FB0DD5" w:rsidRDefault="007D3EBE" w:rsidP="007D3E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E"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962" w:type="dxa"/>
          </w:tcPr>
          <w:p w14:paraId="5A740AA4" w14:textId="4C4BCFDA" w:rsidR="007D3EBE" w:rsidRPr="00FB0DD5" w:rsidRDefault="007D3EBE" w:rsidP="007D3EBE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D3EBE">
              <w:rPr>
                <w:rFonts w:ascii="Times New Roman" w:hAnsi="Times New Roman"/>
                <w:strike/>
                <w:sz w:val="24"/>
                <w:szCs w:val="24"/>
              </w:rPr>
              <w:t>Північний</w:t>
            </w:r>
            <w:r w:rsidRPr="007D3EBE">
              <w:rPr>
                <w:rFonts w:ascii="Times New Roman" w:hAnsi="Times New Roman"/>
                <w:sz w:val="24"/>
                <w:szCs w:val="24"/>
              </w:rPr>
              <w:t xml:space="preserve"> міжрегіональний департамент</w:t>
            </w:r>
          </w:p>
        </w:tc>
        <w:tc>
          <w:tcPr>
            <w:tcW w:w="2483" w:type="dxa"/>
            <w:gridSpan w:val="2"/>
          </w:tcPr>
          <w:p w14:paraId="30C9115E" w14:textId="1371BBDC" w:rsidR="007D3EBE" w:rsidRPr="00FB0DD5" w:rsidRDefault="007D3EBE" w:rsidP="007D3EBE">
            <w:pPr>
              <w:ind w:left="-66" w:firstLine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DD5">
              <w:rPr>
                <w:rFonts w:ascii="Times New Roman" w:hAnsi="Times New Roman"/>
                <w:sz w:val="24"/>
                <w:szCs w:val="24"/>
              </w:rPr>
              <w:t>40075815</w:t>
            </w:r>
          </w:p>
        </w:tc>
        <w:tc>
          <w:tcPr>
            <w:tcW w:w="2336" w:type="dxa"/>
          </w:tcPr>
          <w:p w14:paraId="2CAC0A2F" w14:textId="0D409C59" w:rsidR="007D3EBE" w:rsidRPr="00FB0DD5" w:rsidRDefault="007D3EBE" w:rsidP="007D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DD5">
              <w:rPr>
                <w:rFonts w:ascii="Times New Roman" w:hAnsi="Times New Roman"/>
                <w:sz w:val="24"/>
                <w:szCs w:val="24"/>
              </w:rPr>
              <w:t>АКЦІОНЕРНЕ ТОВАРИСТВО "УКРАЇНСЬКА ЗАЛІЗНИЦЯ"</w:t>
            </w:r>
          </w:p>
        </w:tc>
        <w:tc>
          <w:tcPr>
            <w:tcW w:w="472" w:type="dxa"/>
          </w:tcPr>
          <w:p w14:paraId="5F0F680B" w14:textId="02BAC95E" w:rsidR="007D3EBE" w:rsidRPr="00FB0DD5" w:rsidRDefault="007D3EBE" w:rsidP="007D3E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E"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015" w:type="dxa"/>
          </w:tcPr>
          <w:p w14:paraId="6D1745F6" w14:textId="52CBD61E" w:rsidR="007D3EBE" w:rsidRPr="00FB0DD5" w:rsidRDefault="007D3EBE" w:rsidP="007D3E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E">
              <w:rPr>
                <w:rFonts w:ascii="Times New Roman" w:hAnsi="Times New Roman"/>
                <w:b/>
                <w:bCs/>
                <w:sz w:val="24"/>
                <w:szCs w:val="24"/>
              </w:rPr>
              <w:t>Південний</w:t>
            </w:r>
            <w:r w:rsidRPr="007D3EBE">
              <w:rPr>
                <w:rFonts w:ascii="Times New Roman" w:hAnsi="Times New Roman"/>
                <w:sz w:val="24"/>
                <w:szCs w:val="24"/>
              </w:rPr>
              <w:t xml:space="preserve"> міжрегіональний департамент</w:t>
            </w:r>
          </w:p>
        </w:tc>
      </w:tr>
      <w:tr w:rsidR="007D3EBE" w14:paraId="1B1ED699" w14:textId="77777777" w:rsidTr="007D3EBE">
        <w:tc>
          <w:tcPr>
            <w:tcW w:w="7431" w:type="dxa"/>
            <w:gridSpan w:val="4"/>
          </w:tcPr>
          <w:p w14:paraId="3F4C21AB" w14:textId="4F97ED3D" w:rsidR="007D3EBE" w:rsidRPr="007D3EBE" w:rsidRDefault="007D3EBE" w:rsidP="007D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BE">
              <w:rPr>
                <w:rFonts w:ascii="Times New Roman" w:hAnsi="Times New Roman"/>
                <w:sz w:val="24"/>
                <w:szCs w:val="24"/>
              </w:rPr>
              <w:t>Предмет моніторингу за пакетом медичних послуг "Медична допомога при гострому інфаркті міокарда"</w:t>
            </w:r>
          </w:p>
        </w:tc>
        <w:tc>
          <w:tcPr>
            <w:tcW w:w="7306" w:type="dxa"/>
            <w:gridSpan w:val="5"/>
          </w:tcPr>
          <w:p w14:paraId="7C56704B" w14:textId="16B9FB2F" w:rsidR="007D3EBE" w:rsidRPr="007D3EBE" w:rsidRDefault="007D3EBE" w:rsidP="007D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BE">
              <w:rPr>
                <w:rFonts w:ascii="Times New Roman" w:hAnsi="Times New Roman"/>
                <w:sz w:val="24"/>
                <w:szCs w:val="24"/>
              </w:rPr>
              <w:t>Предмет моніторингу за пакетом медичних послуг "Медична допомога при гострому інфаркті міокарда"</w:t>
            </w:r>
          </w:p>
        </w:tc>
      </w:tr>
      <w:tr w:rsidR="007D3EBE" w14:paraId="33EF449E" w14:textId="77777777" w:rsidTr="007D3EBE">
        <w:tc>
          <w:tcPr>
            <w:tcW w:w="7431" w:type="dxa"/>
            <w:gridSpan w:val="4"/>
          </w:tcPr>
          <w:p w14:paraId="4ACB8C69" w14:textId="77777777" w:rsidR="007D3EBE" w:rsidRPr="007D3EBE" w:rsidRDefault="007D3EBE" w:rsidP="007D3EB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E">
              <w:rPr>
                <w:rFonts w:ascii="Times New Roman" w:hAnsi="Times New Roman"/>
                <w:b/>
                <w:bCs/>
                <w:sz w:val="24"/>
                <w:szCs w:val="24"/>
              </w:rPr>
              <w:t>Відсутній.</w:t>
            </w:r>
          </w:p>
          <w:p w14:paraId="36BA7373" w14:textId="77777777" w:rsidR="007D3EBE" w:rsidRPr="007D3EBE" w:rsidRDefault="007D3EBE" w:rsidP="007D3EB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29EBC16B" w14:textId="160D2254" w:rsidR="007D3EBE" w:rsidRPr="007D3EBE" w:rsidRDefault="007D3EBE" w:rsidP="007D3EB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E">
              <w:rPr>
                <w:rFonts w:ascii="Times New Roman" w:hAnsi="Times New Roman"/>
                <w:b/>
                <w:bCs/>
                <w:sz w:val="24"/>
                <w:szCs w:val="24"/>
              </w:rPr>
              <w:t>підпункт 13 пункту 19 Договору</w:t>
            </w:r>
          </w:p>
        </w:tc>
        <w:tc>
          <w:tcPr>
            <w:tcW w:w="4934" w:type="dxa"/>
            <w:gridSpan w:val="4"/>
          </w:tcPr>
          <w:p w14:paraId="5467FA04" w14:textId="461D8B18" w:rsidR="007D3EBE" w:rsidRPr="007D3EBE" w:rsidRDefault="007D3EBE" w:rsidP="007D3EB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E">
              <w:rPr>
                <w:rFonts w:ascii="Times New Roman" w:hAnsi="Times New Roman"/>
                <w:b/>
                <w:bCs/>
                <w:sz w:val="24"/>
                <w:szCs w:val="24"/>
              </w:rPr>
              <w:t>Своєчасно вносити до системи повну та достовірну інформацію, в тому числі медичну документацію та звіти про медичні послуги, медичні записи, записи про направлення і рецепти у порядку, встановленому законодавством, з урахуванням положень специфікації</w:t>
            </w:r>
          </w:p>
        </w:tc>
      </w:tr>
      <w:tr w:rsidR="007D3EBE" w14:paraId="7D9D8DE2" w14:textId="77777777" w:rsidTr="007D3EBE">
        <w:tc>
          <w:tcPr>
            <w:tcW w:w="7431" w:type="dxa"/>
            <w:gridSpan w:val="4"/>
          </w:tcPr>
          <w:p w14:paraId="20591881" w14:textId="77777777" w:rsidR="007D3EBE" w:rsidRPr="007D3EBE" w:rsidRDefault="007D3EBE" w:rsidP="007D3EB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E">
              <w:rPr>
                <w:rFonts w:ascii="Times New Roman" w:hAnsi="Times New Roman"/>
                <w:b/>
                <w:bCs/>
                <w:sz w:val="24"/>
                <w:szCs w:val="24"/>
              </w:rPr>
              <w:t>Відсутній.</w:t>
            </w:r>
          </w:p>
          <w:p w14:paraId="5F87C10F" w14:textId="77777777" w:rsidR="007D3EBE" w:rsidRPr="007D3EBE" w:rsidRDefault="007D3EBE" w:rsidP="007D3EB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76064D10" w14:textId="35E49B62" w:rsidR="007D3EBE" w:rsidRPr="007D3EBE" w:rsidRDefault="007D3EBE" w:rsidP="007D3EB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E">
              <w:rPr>
                <w:rFonts w:ascii="Times New Roman" w:hAnsi="Times New Roman"/>
                <w:b/>
                <w:bCs/>
                <w:sz w:val="24"/>
                <w:szCs w:val="24"/>
              </w:rPr>
              <w:t>підпункт 17 пункту 19 Договору</w:t>
            </w:r>
          </w:p>
        </w:tc>
        <w:tc>
          <w:tcPr>
            <w:tcW w:w="4934" w:type="dxa"/>
            <w:gridSpan w:val="4"/>
          </w:tcPr>
          <w:p w14:paraId="6AC75F3D" w14:textId="1903FAFA" w:rsidR="007D3EBE" w:rsidRPr="007D3EBE" w:rsidRDefault="007D3EBE" w:rsidP="007D3EB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E">
              <w:rPr>
                <w:rFonts w:ascii="Times New Roman" w:hAnsi="Times New Roman"/>
                <w:b/>
                <w:bCs/>
                <w:sz w:val="24"/>
                <w:szCs w:val="24"/>
              </w:rPr>
              <w:t>Забезпечити внесення до системи достовірної інформації про надавача, його керівника, медичних працівників, підрядників та уповноважених осіб (у тому числі про припинення трудових відносин з працівником надавача або договірних відносин з підрядником) не пізніше наступного робочого дня з дня її зміни</w:t>
            </w:r>
          </w:p>
        </w:tc>
      </w:tr>
      <w:tr w:rsidR="007D3EBE" w14:paraId="51CF291F" w14:textId="77777777" w:rsidTr="00946073">
        <w:tc>
          <w:tcPr>
            <w:tcW w:w="14737" w:type="dxa"/>
            <w:gridSpan w:val="9"/>
          </w:tcPr>
          <w:p w14:paraId="2E0A0784" w14:textId="046C81E2" w:rsidR="007D3EBE" w:rsidRPr="007D3EBE" w:rsidRDefault="007D3EBE" w:rsidP="007D3E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D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Перелік надавачів медичних послуг, у яких у І півріччі 2024 року буде </w:t>
            </w:r>
            <w:proofErr w:type="spellStart"/>
            <w:r w:rsidRPr="00FB0DD5">
              <w:rPr>
                <w:rFonts w:ascii="Times New Roman" w:hAnsi="Times New Roman"/>
                <w:b/>
                <w:bCs/>
                <w:sz w:val="28"/>
                <w:szCs w:val="28"/>
              </w:rPr>
              <w:t>здійснюватись</w:t>
            </w:r>
            <w:proofErr w:type="spellEnd"/>
            <w:r w:rsidRPr="00FB0D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плановий моніторинг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B0DD5">
              <w:rPr>
                <w:rFonts w:ascii="Times New Roman" w:hAnsi="Times New Roman"/>
                <w:b/>
                <w:bCs/>
                <w:sz w:val="28"/>
                <w:szCs w:val="28"/>
              </w:rPr>
              <w:t>виконання умов договору про медичне обслуговування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B0D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населення за програмою медичних гарантій за пакетом медичних </w:t>
            </w:r>
            <w:r w:rsidRPr="007D3EBE">
              <w:rPr>
                <w:rFonts w:ascii="Times New Roman" w:hAnsi="Times New Roman"/>
                <w:b/>
                <w:bCs/>
                <w:sz w:val="28"/>
                <w:szCs w:val="28"/>
              </w:rPr>
              <w:t>«Медична допомога при пологах»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затверджений наказом НСЗУ </w:t>
            </w:r>
            <w:r w:rsidRPr="00FB0DD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від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Pr="00FB0DD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23.02.2024 № 139</w:t>
            </w:r>
          </w:p>
        </w:tc>
      </w:tr>
      <w:tr w:rsidR="007D3EBE" w14:paraId="03FC2D6D" w14:textId="77777777" w:rsidTr="007D3EBE">
        <w:tc>
          <w:tcPr>
            <w:tcW w:w="7431" w:type="dxa"/>
            <w:gridSpan w:val="4"/>
          </w:tcPr>
          <w:p w14:paraId="7521A754" w14:textId="79347FA5" w:rsidR="007D3EBE" w:rsidRPr="007D3EBE" w:rsidRDefault="007D3EBE" w:rsidP="007D3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EBE">
              <w:rPr>
                <w:rFonts w:ascii="Times New Roman" w:hAnsi="Times New Roman"/>
                <w:sz w:val="24"/>
                <w:szCs w:val="24"/>
              </w:rPr>
              <w:t>Предмет моніторингу за пакетом медичних послуг "</w:t>
            </w:r>
            <w:r>
              <w:rPr>
                <w:rFonts w:ascii="Times New Roman" w:hAnsi="Times New Roman"/>
                <w:sz w:val="24"/>
                <w:szCs w:val="24"/>
              </w:rPr>
              <w:t>Медична допомога при пологах</w:t>
            </w:r>
            <w:r w:rsidRPr="007D3EB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7306" w:type="dxa"/>
            <w:gridSpan w:val="5"/>
          </w:tcPr>
          <w:p w14:paraId="351BBBB0" w14:textId="49DF3863" w:rsidR="007D3EBE" w:rsidRPr="007D3EBE" w:rsidRDefault="007D3EBE" w:rsidP="007D3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EBE">
              <w:rPr>
                <w:rFonts w:ascii="Times New Roman" w:hAnsi="Times New Roman"/>
                <w:sz w:val="24"/>
                <w:szCs w:val="24"/>
              </w:rPr>
              <w:t>Предмет моніторингу за пакетом медичних послуг "</w:t>
            </w:r>
            <w:r>
              <w:rPr>
                <w:rFonts w:ascii="Times New Roman" w:hAnsi="Times New Roman"/>
                <w:sz w:val="24"/>
                <w:szCs w:val="24"/>
              </w:rPr>
              <w:t>Медична допомога при пологах</w:t>
            </w:r>
            <w:r w:rsidRPr="007D3EB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7D3EBE" w14:paraId="4AF5F012" w14:textId="77777777" w:rsidTr="007D3EBE">
        <w:tc>
          <w:tcPr>
            <w:tcW w:w="7431" w:type="dxa"/>
            <w:gridSpan w:val="4"/>
          </w:tcPr>
          <w:p w14:paraId="67EB5DD5" w14:textId="77777777" w:rsidR="007D3EBE" w:rsidRPr="007D3EBE" w:rsidRDefault="007D3EBE" w:rsidP="007D3EB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E">
              <w:rPr>
                <w:rFonts w:ascii="Times New Roman" w:hAnsi="Times New Roman"/>
                <w:b/>
                <w:bCs/>
                <w:sz w:val="24"/>
                <w:szCs w:val="24"/>
              </w:rPr>
              <w:t>Відсутній.</w:t>
            </w:r>
          </w:p>
          <w:p w14:paraId="3E3B1567" w14:textId="77777777" w:rsidR="007D3EBE" w:rsidRPr="007D3EBE" w:rsidRDefault="007D3EBE" w:rsidP="007D3EB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7BB0F711" w14:textId="4B7B91F7" w:rsidR="007D3EBE" w:rsidRPr="007D3EBE" w:rsidRDefault="007D3EBE" w:rsidP="007D3EB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E">
              <w:rPr>
                <w:rFonts w:ascii="Times New Roman" w:hAnsi="Times New Roman"/>
                <w:b/>
                <w:bCs/>
                <w:sz w:val="24"/>
                <w:szCs w:val="24"/>
              </w:rPr>
              <w:t>підпункт 13 пункту 19 Договору</w:t>
            </w:r>
          </w:p>
        </w:tc>
        <w:tc>
          <w:tcPr>
            <w:tcW w:w="4934" w:type="dxa"/>
            <w:gridSpan w:val="4"/>
          </w:tcPr>
          <w:p w14:paraId="4F034188" w14:textId="5E9B858C" w:rsidR="007D3EBE" w:rsidRPr="007D3EBE" w:rsidRDefault="007D3EBE" w:rsidP="007D3EB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Своєчасно вносити до системи повну та достовірну інформацію, в тому числі медичну документацію та звіти про медичні послуги, медичні записи, записи про направлення і рецепти у порядку, </w:t>
            </w:r>
            <w:r w:rsidRPr="007D3EB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встановленому законодавством, з урахуванням положень специфікації</w:t>
            </w:r>
          </w:p>
        </w:tc>
      </w:tr>
      <w:tr w:rsidR="007D3EBE" w14:paraId="22A712A6" w14:textId="77777777" w:rsidTr="007D3EBE">
        <w:tc>
          <w:tcPr>
            <w:tcW w:w="7431" w:type="dxa"/>
            <w:gridSpan w:val="4"/>
          </w:tcPr>
          <w:p w14:paraId="0F5F3D61" w14:textId="77777777" w:rsidR="007D3EBE" w:rsidRPr="007D3EBE" w:rsidRDefault="007D3EBE" w:rsidP="007D3EB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Відсутній.</w:t>
            </w:r>
          </w:p>
          <w:p w14:paraId="3C839AB8" w14:textId="77777777" w:rsidR="007D3EBE" w:rsidRPr="007D3EBE" w:rsidRDefault="007D3EBE" w:rsidP="007D3EB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1FD356E4" w14:textId="53C26CD5" w:rsidR="007D3EBE" w:rsidRPr="007D3EBE" w:rsidRDefault="007D3EBE" w:rsidP="007D3EB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E">
              <w:rPr>
                <w:rFonts w:ascii="Times New Roman" w:hAnsi="Times New Roman"/>
                <w:b/>
                <w:bCs/>
                <w:sz w:val="24"/>
                <w:szCs w:val="24"/>
              </w:rPr>
              <w:t>підпункт 17 пункту 19 Договору</w:t>
            </w:r>
          </w:p>
        </w:tc>
        <w:tc>
          <w:tcPr>
            <w:tcW w:w="4934" w:type="dxa"/>
            <w:gridSpan w:val="4"/>
          </w:tcPr>
          <w:p w14:paraId="09B93EB3" w14:textId="64D602DD" w:rsidR="007D3EBE" w:rsidRPr="007D3EBE" w:rsidRDefault="007D3EBE" w:rsidP="007D3EB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E">
              <w:rPr>
                <w:rFonts w:ascii="Times New Roman" w:hAnsi="Times New Roman"/>
                <w:b/>
                <w:bCs/>
                <w:sz w:val="24"/>
                <w:szCs w:val="24"/>
              </w:rPr>
              <w:t>Забезпечити внесення до системи достовірної інформації про надавача, його керівника, медичних працівників, підрядників та уповноважених осіб (у тому числі про припинення трудових відносин з працівником надавача або договірних відносин з підрядником) не пізніше наступного робочого дня з дня її зміни</w:t>
            </w:r>
          </w:p>
        </w:tc>
      </w:tr>
      <w:tr w:rsidR="007D3EBE" w14:paraId="17890729" w14:textId="77777777" w:rsidTr="00C9687B">
        <w:tc>
          <w:tcPr>
            <w:tcW w:w="7431" w:type="dxa"/>
            <w:gridSpan w:val="4"/>
          </w:tcPr>
          <w:p w14:paraId="047A90CB" w14:textId="2D1B19DD" w:rsidR="007D3EBE" w:rsidRPr="007D3EBE" w:rsidRDefault="007D3EBE" w:rsidP="007D3E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E">
              <w:rPr>
                <w:rFonts w:ascii="Times New Roman" w:hAnsi="Times New Roman"/>
                <w:sz w:val="24"/>
                <w:szCs w:val="24"/>
              </w:rPr>
              <w:t>Предмет моніторингу за пакетом медичних послуг "</w:t>
            </w:r>
            <w:r>
              <w:rPr>
                <w:rFonts w:ascii="Times New Roman" w:hAnsi="Times New Roman"/>
                <w:sz w:val="24"/>
                <w:szCs w:val="24"/>
              </w:rPr>
              <w:t>Медична допомога при пологах</w:t>
            </w:r>
            <w:r w:rsidRPr="007D3EBE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t xml:space="preserve"> </w:t>
            </w:r>
            <w:r w:rsidRPr="007D3EBE">
              <w:rPr>
                <w:rFonts w:ascii="Times New Roman" w:hAnsi="Times New Roman"/>
                <w:sz w:val="24"/>
                <w:szCs w:val="24"/>
              </w:rPr>
              <w:t>(за умови надання комплексних медичних послуг матері та дитині)</w:t>
            </w:r>
          </w:p>
        </w:tc>
        <w:tc>
          <w:tcPr>
            <w:tcW w:w="7306" w:type="dxa"/>
            <w:gridSpan w:val="5"/>
          </w:tcPr>
          <w:p w14:paraId="50F30EBB" w14:textId="766A60A2" w:rsidR="007D3EBE" w:rsidRPr="007D3EBE" w:rsidRDefault="007D3EBE" w:rsidP="007D3E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E">
              <w:rPr>
                <w:rFonts w:ascii="Times New Roman" w:hAnsi="Times New Roman"/>
                <w:sz w:val="24"/>
                <w:szCs w:val="24"/>
              </w:rPr>
              <w:t>Предмет моніторингу за пакетом медичних послуг "</w:t>
            </w:r>
            <w:r>
              <w:rPr>
                <w:rFonts w:ascii="Times New Roman" w:hAnsi="Times New Roman"/>
                <w:sz w:val="24"/>
                <w:szCs w:val="24"/>
              </w:rPr>
              <w:t>Медична допомога при пологах</w:t>
            </w:r>
            <w:r w:rsidRPr="007D3EBE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t xml:space="preserve"> </w:t>
            </w:r>
            <w:r w:rsidRPr="007D3EBE">
              <w:rPr>
                <w:rFonts w:ascii="Times New Roman" w:hAnsi="Times New Roman"/>
                <w:sz w:val="24"/>
                <w:szCs w:val="24"/>
              </w:rPr>
              <w:t>(за умови надання комплексних медичних послуг матері та дитині)</w:t>
            </w:r>
          </w:p>
        </w:tc>
      </w:tr>
      <w:tr w:rsidR="007D3EBE" w14:paraId="2AE12888" w14:textId="77777777" w:rsidTr="007D3EBE">
        <w:tc>
          <w:tcPr>
            <w:tcW w:w="7431" w:type="dxa"/>
            <w:gridSpan w:val="4"/>
          </w:tcPr>
          <w:p w14:paraId="45DC5C9E" w14:textId="77777777" w:rsidR="007D3EBE" w:rsidRPr="007D3EBE" w:rsidRDefault="007D3EBE" w:rsidP="007D3EB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E">
              <w:rPr>
                <w:rFonts w:ascii="Times New Roman" w:hAnsi="Times New Roman"/>
                <w:b/>
                <w:bCs/>
                <w:sz w:val="24"/>
                <w:szCs w:val="24"/>
              </w:rPr>
              <w:t>Відсутній.</w:t>
            </w:r>
          </w:p>
          <w:p w14:paraId="5FD52B95" w14:textId="77777777" w:rsidR="007D3EBE" w:rsidRPr="007D3EBE" w:rsidRDefault="007D3EBE" w:rsidP="007D3EB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0FF5CF12" w14:textId="31D9FE2E" w:rsidR="007D3EBE" w:rsidRPr="007D3EBE" w:rsidRDefault="007D3EBE" w:rsidP="007D3EB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E">
              <w:rPr>
                <w:rFonts w:ascii="Times New Roman" w:hAnsi="Times New Roman"/>
                <w:b/>
                <w:bCs/>
                <w:sz w:val="24"/>
                <w:szCs w:val="24"/>
              </w:rPr>
              <w:t>підпункт 13 пункту 19 Договору</w:t>
            </w:r>
          </w:p>
        </w:tc>
        <w:tc>
          <w:tcPr>
            <w:tcW w:w="4934" w:type="dxa"/>
            <w:gridSpan w:val="4"/>
          </w:tcPr>
          <w:p w14:paraId="64159425" w14:textId="12F8E9F4" w:rsidR="007D3EBE" w:rsidRPr="007D3EBE" w:rsidRDefault="007D3EBE" w:rsidP="007D3EB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E">
              <w:rPr>
                <w:rFonts w:ascii="Times New Roman" w:hAnsi="Times New Roman"/>
                <w:b/>
                <w:bCs/>
                <w:sz w:val="24"/>
                <w:szCs w:val="24"/>
              </w:rPr>
              <w:t>Своєчасно вносити до системи повну та достовірну інформацію, в тому числі медичну документацію та звіти про медичні послуги, медичні записи, записи про направлення і рецепти у порядку, встановленому законодавством, з урахуванням положень специфікації</w:t>
            </w:r>
          </w:p>
        </w:tc>
      </w:tr>
      <w:tr w:rsidR="007D3EBE" w14:paraId="2D1FAA89" w14:textId="77777777" w:rsidTr="007D3EBE">
        <w:tc>
          <w:tcPr>
            <w:tcW w:w="7431" w:type="dxa"/>
            <w:gridSpan w:val="4"/>
          </w:tcPr>
          <w:p w14:paraId="7233F4CD" w14:textId="77777777" w:rsidR="007D3EBE" w:rsidRPr="007D3EBE" w:rsidRDefault="007D3EBE" w:rsidP="007D3EB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E">
              <w:rPr>
                <w:rFonts w:ascii="Times New Roman" w:hAnsi="Times New Roman"/>
                <w:b/>
                <w:bCs/>
                <w:sz w:val="24"/>
                <w:szCs w:val="24"/>
              </w:rPr>
              <w:t>Відсутній.</w:t>
            </w:r>
          </w:p>
          <w:p w14:paraId="225B6313" w14:textId="77777777" w:rsidR="007D3EBE" w:rsidRPr="007D3EBE" w:rsidRDefault="007D3EBE" w:rsidP="007D3EB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26F4A1E0" w14:textId="4E436165" w:rsidR="007D3EBE" w:rsidRPr="007D3EBE" w:rsidRDefault="007D3EBE" w:rsidP="007D3EB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E">
              <w:rPr>
                <w:rFonts w:ascii="Times New Roman" w:hAnsi="Times New Roman"/>
                <w:b/>
                <w:bCs/>
                <w:sz w:val="24"/>
                <w:szCs w:val="24"/>
              </w:rPr>
              <w:t>підпункт 17 пункту 19 Договору</w:t>
            </w:r>
          </w:p>
        </w:tc>
        <w:tc>
          <w:tcPr>
            <w:tcW w:w="4934" w:type="dxa"/>
            <w:gridSpan w:val="4"/>
          </w:tcPr>
          <w:p w14:paraId="11F2DD47" w14:textId="09FC4287" w:rsidR="007D3EBE" w:rsidRPr="007D3EBE" w:rsidRDefault="007D3EBE" w:rsidP="007D3EB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E">
              <w:rPr>
                <w:rFonts w:ascii="Times New Roman" w:hAnsi="Times New Roman"/>
                <w:b/>
                <w:bCs/>
                <w:sz w:val="24"/>
                <w:szCs w:val="24"/>
              </w:rPr>
              <w:t>Забезпечити внесення до системи достовірної інформації про надавача, його керівника, медичних працівників, підрядників та уповноважених осіб (у тому числі про припинення трудових відносин з працівником надавача або договірних відносин з підрядником) не пізніше наступного робочого дня з дня її зміни</w:t>
            </w:r>
          </w:p>
        </w:tc>
      </w:tr>
      <w:tr w:rsidR="007D3EBE" w14:paraId="5584D3C9" w14:textId="77777777" w:rsidTr="00963576">
        <w:tc>
          <w:tcPr>
            <w:tcW w:w="14737" w:type="dxa"/>
            <w:gridSpan w:val="9"/>
          </w:tcPr>
          <w:p w14:paraId="1D014A1C" w14:textId="1844E580" w:rsidR="007D3EBE" w:rsidRPr="007D3EBE" w:rsidRDefault="007D3EBE" w:rsidP="007D3E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D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Перелік надавачів медичних послуг, у яких у І півріччі 2024 року буде </w:t>
            </w:r>
            <w:proofErr w:type="spellStart"/>
            <w:r w:rsidRPr="00FB0DD5">
              <w:rPr>
                <w:rFonts w:ascii="Times New Roman" w:hAnsi="Times New Roman"/>
                <w:b/>
                <w:bCs/>
                <w:sz w:val="28"/>
                <w:szCs w:val="28"/>
              </w:rPr>
              <w:t>здійснюватись</w:t>
            </w:r>
            <w:proofErr w:type="spellEnd"/>
            <w:r w:rsidRPr="00FB0D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плановий моніторинг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B0DD5">
              <w:rPr>
                <w:rFonts w:ascii="Times New Roman" w:hAnsi="Times New Roman"/>
                <w:b/>
                <w:bCs/>
                <w:sz w:val="28"/>
                <w:szCs w:val="28"/>
              </w:rPr>
              <w:t>виконання умов договору про медичне обслуговування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B0D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населення за програмою медичних гарантій за пакетом медичних послуг </w:t>
            </w:r>
            <w:r w:rsidRPr="007D3EB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«Медична допомога новонародженим у складних </w:t>
            </w:r>
            <w:proofErr w:type="spellStart"/>
            <w:r w:rsidRPr="007D3EBE">
              <w:rPr>
                <w:rFonts w:ascii="Times New Roman" w:hAnsi="Times New Roman"/>
                <w:b/>
                <w:bCs/>
                <w:sz w:val="28"/>
                <w:szCs w:val="28"/>
              </w:rPr>
              <w:t>неонатальних</w:t>
            </w:r>
            <w:proofErr w:type="spellEnd"/>
            <w:r w:rsidRPr="007D3EB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випадках»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затверджений наказом НСЗУ </w:t>
            </w:r>
            <w:r w:rsidRPr="00FB0DD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від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Pr="00FB0DD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23.02.2024 № 139</w:t>
            </w:r>
          </w:p>
        </w:tc>
      </w:tr>
      <w:tr w:rsidR="007D3EBE" w14:paraId="1D861E05" w14:textId="77777777" w:rsidTr="009F324A">
        <w:tc>
          <w:tcPr>
            <w:tcW w:w="7431" w:type="dxa"/>
            <w:gridSpan w:val="4"/>
          </w:tcPr>
          <w:p w14:paraId="6765E6C8" w14:textId="27034C32" w:rsidR="007D3EBE" w:rsidRPr="007D3EBE" w:rsidRDefault="007D3EBE" w:rsidP="007D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BE">
              <w:rPr>
                <w:rFonts w:ascii="Times New Roman" w:hAnsi="Times New Roman"/>
                <w:sz w:val="24"/>
                <w:szCs w:val="24"/>
              </w:rPr>
              <w:t xml:space="preserve">Предмет моніторингу за пакетом медичних послуг "Медична допомога новонародженим у складних </w:t>
            </w:r>
            <w:proofErr w:type="spellStart"/>
            <w:r w:rsidRPr="007D3EBE">
              <w:rPr>
                <w:rFonts w:ascii="Times New Roman" w:hAnsi="Times New Roman"/>
                <w:sz w:val="24"/>
                <w:szCs w:val="24"/>
              </w:rPr>
              <w:t>неонатальних</w:t>
            </w:r>
            <w:proofErr w:type="spellEnd"/>
            <w:r w:rsidRPr="007D3EBE">
              <w:rPr>
                <w:rFonts w:ascii="Times New Roman" w:hAnsi="Times New Roman"/>
                <w:sz w:val="24"/>
                <w:szCs w:val="24"/>
              </w:rPr>
              <w:t xml:space="preserve"> випадках"</w:t>
            </w:r>
          </w:p>
        </w:tc>
        <w:tc>
          <w:tcPr>
            <w:tcW w:w="7306" w:type="dxa"/>
            <w:gridSpan w:val="5"/>
          </w:tcPr>
          <w:p w14:paraId="5AAC42A8" w14:textId="3BF7E3CC" w:rsidR="007D3EBE" w:rsidRPr="007D3EBE" w:rsidRDefault="007D3EBE" w:rsidP="007D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BE">
              <w:rPr>
                <w:rFonts w:ascii="Times New Roman" w:hAnsi="Times New Roman"/>
                <w:sz w:val="24"/>
                <w:szCs w:val="24"/>
              </w:rPr>
              <w:t xml:space="preserve">Предмет моніторингу за пакетом медичних послуг "Медична допомога новонародженим у складних </w:t>
            </w:r>
            <w:proofErr w:type="spellStart"/>
            <w:r w:rsidRPr="007D3EBE">
              <w:rPr>
                <w:rFonts w:ascii="Times New Roman" w:hAnsi="Times New Roman"/>
                <w:sz w:val="24"/>
                <w:szCs w:val="24"/>
              </w:rPr>
              <w:t>неонатальних</w:t>
            </w:r>
            <w:proofErr w:type="spellEnd"/>
            <w:r w:rsidRPr="007D3EBE">
              <w:rPr>
                <w:rFonts w:ascii="Times New Roman" w:hAnsi="Times New Roman"/>
                <w:sz w:val="24"/>
                <w:szCs w:val="24"/>
              </w:rPr>
              <w:t xml:space="preserve"> випадках"</w:t>
            </w:r>
          </w:p>
        </w:tc>
      </w:tr>
      <w:tr w:rsidR="007D3EBE" w14:paraId="5185FBDB" w14:textId="77777777" w:rsidTr="007D3EBE">
        <w:tc>
          <w:tcPr>
            <w:tcW w:w="7431" w:type="dxa"/>
            <w:gridSpan w:val="4"/>
          </w:tcPr>
          <w:p w14:paraId="25E45474" w14:textId="77777777" w:rsidR="007D3EBE" w:rsidRPr="007D3EBE" w:rsidRDefault="007D3EBE" w:rsidP="007D3EB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Відсутній.</w:t>
            </w:r>
          </w:p>
          <w:p w14:paraId="74AF8321" w14:textId="77777777" w:rsidR="007D3EBE" w:rsidRPr="007D3EBE" w:rsidRDefault="007D3EBE" w:rsidP="007D3EB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0C467DE1" w14:textId="4388A036" w:rsidR="007D3EBE" w:rsidRPr="007D3EBE" w:rsidRDefault="007D3EBE" w:rsidP="007D3EB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E">
              <w:rPr>
                <w:rFonts w:ascii="Times New Roman" w:hAnsi="Times New Roman"/>
                <w:b/>
                <w:bCs/>
                <w:sz w:val="24"/>
                <w:szCs w:val="24"/>
              </w:rPr>
              <w:t>підпункт 13 пункту 19 Договору</w:t>
            </w:r>
          </w:p>
        </w:tc>
        <w:tc>
          <w:tcPr>
            <w:tcW w:w="4934" w:type="dxa"/>
            <w:gridSpan w:val="4"/>
          </w:tcPr>
          <w:p w14:paraId="0757E201" w14:textId="6B7708B0" w:rsidR="007D3EBE" w:rsidRPr="007D3EBE" w:rsidRDefault="007D3EBE" w:rsidP="007D3EB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E">
              <w:rPr>
                <w:rFonts w:ascii="Times New Roman" w:hAnsi="Times New Roman"/>
                <w:b/>
                <w:bCs/>
                <w:sz w:val="24"/>
                <w:szCs w:val="24"/>
              </w:rPr>
              <w:t>Своєчасно вносити до системи повну та достовірну інформацію, в тому числі медичну документацію та звіти про медичні послуги, медичні записи, записи про направлення і рецепти у порядку, встановленому законодавством, з урахуванням положень специфікації</w:t>
            </w:r>
          </w:p>
        </w:tc>
      </w:tr>
      <w:tr w:rsidR="007D3EBE" w14:paraId="36A15DDB" w14:textId="77777777" w:rsidTr="007D3EBE">
        <w:tc>
          <w:tcPr>
            <w:tcW w:w="7431" w:type="dxa"/>
            <w:gridSpan w:val="4"/>
          </w:tcPr>
          <w:p w14:paraId="5095364E" w14:textId="77777777" w:rsidR="007D3EBE" w:rsidRPr="007D3EBE" w:rsidRDefault="007D3EBE" w:rsidP="007D3EB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E">
              <w:rPr>
                <w:rFonts w:ascii="Times New Roman" w:hAnsi="Times New Roman"/>
                <w:b/>
                <w:bCs/>
                <w:sz w:val="24"/>
                <w:szCs w:val="24"/>
              </w:rPr>
              <w:t>Відсутній.</w:t>
            </w:r>
          </w:p>
          <w:p w14:paraId="2DC6BEC2" w14:textId="77777777" w:rsidR="007D3EBE" w:rsidRPr="007D3EBE" w:rsidRDefault="007D3EBE" w:rsidP="007D3EB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3C90E19B" w14:textId="07513D9C" w:rsidR="007D3EBE" w:rsidRPr="007D3EBE" w:rsidRDefault="007D3EBE" w:rsidP="007D3EB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E">
              <w:rPr>
                <w:rFonts w:ascii="Times New Roman" w:hAnsi="Times New Roman"/>
                <w:b/>
                <w:bCs/>
                <w:sz w:val="24"/>
                <w:szCs w:val="24"/>
              </w:rPr>
              <w:t>підпункт 17 пункту 19 Договору</w:t>
            </w:r>
          </w:p>
        </w:tc>
        <w:tc>
          <w:tcPr>
            <w:tcW w:w="4934" w:type="dxa"/>
            <w:gridSpan w:val="4"/>
          </w:tcPr>
          <w:p w14:paraId="1D2BDBF1" w14:textId="52B53308" w:rsidR="007D3EBE" w:rsidRPr="007D3EBE" w:rsidRDefault="007D3EBE" w:rsidP="007D3EB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E">
              <w:rPr>
                <w:rFonts w:ascii="Times New Roman" w:hAnsi="Times New Roman"/>
                <w:b/>
                <w:bCs/>
                <w:sz w:val="24"/>
                <w:szCs w:val="24"/>
              </w:rPr>
              <w:t>Забезпечити внесення до системи достовірної інформації про надавача, його керівника, медичних працівників, підрядників та уповноважених осіб (у тому числі про припинення трудових відносин з працівником надавача або договірних відносин з підрядником) не пізніше наступного робочого дня з дня її зміни</w:t>
            </w:r>
          </w:p>
        </w:tc>
      </w:tr>
    </w:tbl>
    <w:p w14:paraId="0B84F7C4" w14:textId="77777777" w:rsidR="006B1AF5" w:rsidRDefault="00000000">
      <w:pPr>
        <w:tabs>
          <w:tab w:val="left" w:pos="1134"/>
        </w:tabs>
        <w:jc w:val="center"/>
        <w:rPr>
          <w:szCs w:val="28"/>
        </w:rPr>
      </w:pPr>
      <w:r>
        <w:rPr>
          <w:szCs w:val="28"/>
        </w:rPr>
        <w:t>_______________________</w:t>
      </w:r>
    </w:p>
    <w:p w14:paraId="0721D5A0" w14:textId="77777777" w:rsidR="006B1AF5" w:rsidRDefault="006B1AF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6B1AF5">
      <w:headerReference w:type="default" r:id="rId8"/>
      <w:footerReference w:type="default" r:id="rId9"/>
      <w:pgSz w:w="16838" w:h="11906" w:orient="landscape"/>
      <w:pgMar w:top="1134" w:right="567" w:bottom="964" w:left="1418" w:header="448" w:footer="720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A7427" w14:textId="77777777" w:rsidR="00952896" w:rsidRDefault="00952896">
      <w:pPr>
        <w:spacing w:after="0" w:line="240" w:lineRule="auto"/>
      </w:pPr>
    </w:p>
  </w:endnote>
  <w:endnote w:type="continuationSeparator" w:id="0">
    <w:p w14:paraId="33F4BF51" w14:textId="77777777" w:rsidR="00952896" w:rsidRDefault="009528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A5632" w14:textId="77777777" w:rsidR="006B1AF5" w:rsidRDefault="006B1AF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92FAE" w14:textId="77777777" w:rsidR="00952896" w:rsidRDefault="00952896">
      <w:pPr>
        <w:spacing w:after="0" w:line="240" w:lineRule="auto"/>
      </w:pPr>
    </w:p>
  </w:footnote>
  <w:footnote w:type="continuationSeparator" w:id="0">
    <w:p w14:paraId="707FBA0C" w14:textId="77777777" w:rsidR="00952896" w:rsidRDefault="009528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C9466" w14:textId="77777777" w:rsidR="006B1A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rFonts w:ascii="Times New Roman" w:hAnsi="Times New Roman"/>
        <w:color w:val="000000"/>
        <w:sz w:val="28"/>
        <w:szCs w:val="28"/>
      </w:rPr>
    </w:pPr>
    <w:r>
      <w:rPr>
        <w:rFonts w:ascii="Times New Roman" w:hAnsi="Times New Roman"/>
        <w:color w:val="000000"/>
        <w:sz w:val="28"/>
        <w:szCs w:val="28"/>
      </w:rPr>
      <w:fldChar w:fldCharType="begin"/>
    </w:r>
    <w:r>
      <w:rPr>
        <w:rFonts w:ascii="Times New Roman" w:hAnsi="Times New Roman"/>
        <w:color w:val="000000"/>
        <w:sz w:val="28"/>
        <w:szCs w:val="28"/>
      </w:rPr>
      <w:instrText>PAGE</w:instrText>
    </w:r>
    <w:r>
      <w:rPr>
        <w:rFonts w:ascii="Times New Roman" w:hAnsi="Times New Roman"/>
        <w:color w:val="000000"/>
        <w:sz w:val="28"/>
        <w:szCs w:val="28"/>
      </w:rPr>
      <w:fldChar w:fldCharType="separate"/>
    </w:r>
    <w:r>
      <w:rPr>
        <w:rFonts w:ascii="Times New Roman" w:hAnsi="Times New Roman"/>
        <w:color w:val="000000"/>
        <w:sz w:val="28"/>
        <w:szCs w:val="28"/>
      </w:rPr>
      <w:t>#</w:t>
    </w:r>
    <w:r>
      <w:rPr>
        <w:rFonts w:ascii="Times New Roman" w:hAnsi="Times New Roman"/>
        <w:color w:val="000000"/>
        <w:sz w:val="28"/>
        <w:szCs w:val="28"/>
      </w:rPr>
      <w:fldChar w:fldCharType="end"/>
    </w:r>
  </w:p>
  <w:p w14:paraId="64B5EEC2" w14:textId="77777777" w:rsidR="006B1AF5" w:rsidRDefault="006B1AF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90912"/>
    <w:multiLevelType w:val="hybridMultilevel"/>
    <w:tmpl w:val="1BC83C72"/>
    <w:lvl w:ilvl="0" w:tplc="AF3E7242">
      <w:start w:val="1"/>
      <w:numFmt w:val="decimal"/>
      <w:lvlText w:val="%1)"/>
      <w:lvlJc w:val="left"/>
      <w:pPr>
        <w:ind w:left="927" w:hanging="360"/>
      </w:pPr>
      <w:rPr>
        <w:color w:val="1D1D1B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943417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F5"/>
    <w:rsid w:val="000D0CD8"/>
    <w:rsid w:val="00157B4E"/>
    <w:rsid w:val="001F1A90"/>
    <w:rsid w:val="002B5859"/>
    <w:rsid w:val="003B1AEF"/>
    <w:rsid w:val="004C7F2A"/>
    <w:rsid w:val="005A5D62"/>
    <w:rsid w:val="005C1967"/>
    <w:rsid w:val="00685A8A"/>
    <w:rsid w:val="006B1AF5"/>
    <w:rsid w:val="00797782"/>
    <w:rsid w:val="007D3EBE"/>
    <w:rsid w:val="00916307"/>
    <w:rsid w:val="00952896"/>
    <w:rsid w:val="00A0259A"/>
    <w:rsid w:val="00C06BC8"/>
    <w:rsid w:val="00E77FCB"/>
    <w:rsid w:val="00FB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74D4"/>
  <w15:docId w15:val="{CDD9797E-EA25-40DF-9B0D-46332137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0" w:line="240" w:lineRule="auto"/>
      <w:ind w:left="567" w:hanging="567"/>
      <w:outlineLvl w:val="0"/>
    </w:pPr>
    <w:rPr>
      <w:rFonts w:ascii="Antiqua" w:hAnsi="Antiqua"/>
      <w:b/>
      <w:smallCaps/>
      <w:color w:val="000000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120" w:after="0" w:line="240" w:lineRule="auto"/>
      <w:ind w:left="567" w:hanging="567"/>
      <w:outlineLvl w:val="1"/>
    </w:pPr>
    <w:rPr>
      <w:rFonts w:ascii="Antiqua" w:hAnsi="Antiqua"/>
      <w:b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120" w:after="0" w:line="240" w:lineRule="auto"/>
      <w:ind w:left="567" w:hanging="567"/>
      <w:outlineLvl w:val="2"/>
    </w:pPr>
    <w:rPr>
      <w:rFonts w:ascii="Antiqua" w:hAnsi="Antiqua"/>
      <w:b/>
      <w:i/>
      <w:color w:val="000000"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120" w:after="0" w:line="240" w:lineRule="auto"/>
      <w:ind w:left="567" w:hanging="567"/>
      <w:outlineLvl w:val="3"/>
    </w:pPr>
    <w:rPr>
      <w:rFonts w:ascii="Antiqua" w:hAnsi="Antiqua"/>
      <w:color w:val="000000"/>
      <w:sz w:val="26"/>
      <w:szCs w:val="2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7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0">
    <w:name w:val="Body Text 2"/>
    <w:basedOn w:val="a"/>
    <w:link w:val="21"/>
    <w:pPr>
      <w:tabs>
        <w:tab w:val="left" w:pos="8789"/>
      </w:tabs>
      <w:spacing w:after="0" w:line="360" w:lineRule="auto"/>
      <w:ind w:right="-6"/>
      <w:jc w:val="both"/>
    </w:pPr>
    <w:rPr>
      <w:rFonts w:ascii="Times New Roman" w:hAnsi="Times New Roman"/>
      <w:noProof/>
      <w:sz w:val="28"/>
      <w:szCs w:val="24"/>
      <w:lang w:eastAsia="ru-RU"/>
    </w:rPr>
  </w:style>
  <w:style w:type="paragraph" w:styleId="a8">
    <w:name w:val="Body Text"/>
    <w:basedOn w:val="a"/>
    <w:link w:val="a9"/>
    <w:pPr>
      <w:spacing w:after="120" w:line="240" w:lineRule="auto"/>
    </w:pPr>
    <w:rPr>
      <w:rFonts w:ascii="Times New Roman" w:hAnsi="Times New Roman"/>
      <w:sz w:val="28"/>
      <w:szCs w:val="24"/>
      <w:lang w:eastAsia="ru-RU"/>
    </w:rPr>
  </w:style>
  <w:style w:type="paragraph" w:styleId="aa">
    <w:name w:val="header"/>
    <w:basedOn w:val="a"/>
    <w:link w:val="ab"/>
    <w:pPr>
      <w:tabs>
        <w:tab w:val="center" w:pos="4819"/>
        <w:tab w:val="right" w:pos="9639"/>
      </w:tabs>
      <w:spacing w:after="0" w:line="240" w:lineRule="auto"/>
    </w:pPr>
  </w:style>
  <w:style w:type="paragraph" w:styleId="ac">
    <w:name w:val="footer"/>
    <w:basedOn w:val="a"/>
    <w:link w:val="ad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  <w:ind w:left="31" w:right="102"/>
    </w:pPr>
    <w:rPr>
      <w:rFonts w:ascii="Times New Roman" w:hAnsi="Times New Roman"/>
      <w:lang w:eastAsia="en-US"/>
    </w:rPr>
  </w:style>
  <w:style w:type="paragraph" w:styleId="ae">
    <w:name w:val="annotation text"/>
    <w:basedOn w:val="a"/>
    <w:link w:val="af"/>
    <w:semiHidden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af0">
    <w:name w:val="Revision"/>
    <w:hidden/>
    <w:semiHidden/>
    <w:pPr>
      <w:spacing w:after="0" w:line="240" w:lineRule="auto"/>
    </w:pPr>
  </w:style>
  <w:style w:type="paragraph" w:styleId="af1">
    <w:name w:val="footnote text"/>
    <w:link w:val="af2"/>
    <w:semiHidden/>
    <w:pPr>
      <w:spacing w:after="0" w:line="240" w:lineRule="auto"/>
    </w:pPr>
    <w:rPr>
      <w:sz w:val="20"/>
      <w:szCs w:val="20"/>
    </w:rPr>
  </w:style>
  <w:style w:type="paragraph" w:styleId="af3">
    <w:name w:val="endnote text"/>
    <w:link w:val="af4"/>
    <w:semiHidden/>
    <w:pPr>
      <w:spacing w:after="0" w:line="240" w:lineRule="auto"/>
    </w:pPr>
    <w:rPr>
      <w:sz w:val="20"/>
      <w:szCs w:val="20"/>
    </w:rPr>
  </w:style>
  <w:style w:type="character" w:styleId="af5">
    <w:name w:val="line number"/>
    <w:basedOn w:val="a0"/>
    <w:semiHidden/>
  </w:style>
  <w:style w:type="character" w:styleId="af6">
    <w:name w:val="Hyperlink"/>
    <w:rPr>
      <w:color w:val="0000FF"/>
      <w:u w:val="single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</w:rPr>
  </w:style>
  <w:style w:type="character" w:customStyle="1" w:styleId="21">
    <w:name w:val="Основний текст 2 Знак"/>
    <w:basedOn w:val="a0"/>
    <w:link w:val="20"/>
    <w:rPr>
      <w:rFonts w:ascii="Times New Roman" w:hAnsi="Times New Roman"/>
      <w:noProof/>
      <w:sz w:val="28"/>
      <w:szCs w:val="24"/>
      <w:lang w:eastAsia="ru-RU"/>
    </w:rPr>
  </w:style>
  <w:style w:type="character" w:customStyle="1" w:styleId="a9">
    <w:name w:val="Основний текст Знак"/>
    <w:basedOn w:val="a0"/>
    <w:link w:val="a8"/>
    <w:rPr>
      <w:rFonts w:ascii="Times New Roman" w:hAnsi="Times New Roman"/>
      <w:sz w:val="28"/>
      <w:szCs w:val="24"/>
      <w:lang w:eastAsia="ru-RU"/>
    </w:rPr>
  </w:style>
  <w:style w:type="character" w:customStyle="1" w:styleId="ab">
    <w:name w:val="Верхній колонтитул Знак"/>
    <w:basedOn w:val="a0"/>
    <w:link w:val="aa"/>
  </w:style>
  <w:style w:type="character" w:customStyle="1" w:styleId="ad">
    <w:name w:val="Нижній колонтитул Знак"/>
    <w:basedOn w:val="a0"/>
    <w:link w:val="ac"/>
  </w:style>
  <w:style w:type="character" w:customStyle="1" w:styleId="af">
    <w:name w:val="Текст примітки Знак"/>
    <w:basedOn w:val="a0"/>
    <w:link w:val="ae"/>
    <w:semiHidden/>
    <w:rPr>
      <w:rFonts w:ascii="Times New Roman" w:hAnsi="Times New Roman"/>
      <w:sz w:val="20"/>
      <w:szCs w:val="20"/>
      <w:lang w:eastAsia="ru-RU"/>
    </w:rPr>
  </w:style>
  <w:style w:type="character" w:styleId="af7">
    <w:name w:val="annotation reference"/>
    <w:basedOn w:val="a0"/>
    <w:semiHidden/>
    <w:rPr>
      <w:sz w:val="16"/>
      <w:szCs w:val="16"/>
    </w:rPr>
  </w:style>
  <w:style w:type="character" w:customStyle="1" w:styleId="30">
    <w:name w:val="Заголовок 3 Знак"/>
    <w:link w:val="3"/>
    <w:rPr>
      <w:rFonts w:ascii="Antiqua" w:hAnsi="Antiqua"/>
      <w:b/>
      <w:i/>
      <w:color w:val="000000"/>
      <w:sz w:val="26"/>
      <w:szCs w:val="26"/>
    </w:rPr>
  </w:style>
  <w:style w:type="character" w:styleId="af8">
    <w:name w:val="footnote reference"/>
    <w:semiHidden/>
    <w:rPr>
      <w:vertAlign w:val="superscript"/>
    </w:rPr>
  </w:style>
  <w:style w:type="character" w:customStyle="1" w:styleId="af2">
    <w:name w:val="Текст виноски Знак"/>
    <w:link w:val="af1"/>
    <w:semiHidden/>
    <w:rPr>
      <w:sz w:val="20"/>
      <w:szCs w:val="20"/>
    </w:rPr>
  </w:style>
  <w:style w:type="character" w:styleId="af9">
    <w:name w:val="endnote reference"/>
    <w:semiHidden/>
    <w:rPr>
      <w:vertAlign w:val="superscript"/>
    </w:rPr>
  </w:style>
  <w:style w:type="character" w:customStyle="1" w:styleId="af4">
    <w:name w:val="Текст кінцевої виноски Знак"/>
    <w:link w:val="af3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b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C4656-F3D1-43A2-8A8A-09C57BC2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3789</Words>
  <Characters>2161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Загородько Олександр Анатолійович</dc:creator>
  <cp:lastModifiedBy>Олександр Шадура</cp:lastModifiedBy>
  <cp:revision>8</cp:revision>
  <cp:lastPrinted>2021-08-04T11:25:00Z</cp:lastPrinted>
  <dcterms:created xsi:type="dcterms:W3CDTF">2023-09-20T11:50:00Z</dcterms:created>
  <dcterms:modified xsi:type="dcterms:W3CDTF">2024-02-28T15:39:00Z</dcterms:modified>
</cp:coreProperties>
</file>